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375</w:t>
      </w:r>
    </w:p>
    <w:p>
      <w:r>
        <w:t>Bundesgericht (BGE), 1975-09-24, DE</w:t>
      </w:r>
    </w:p>
    <w:p>
      <w:r>
        <w:rPr>
          <w:b/>
        </w:rPr>
        <w:t xml:space="preserve">Quelle: </w:t>
      </w:r>
      <w:r>
        <w:t>https://mcp.opencaselaw.ch/entscheid/bge_101 II 375</w:t>
      </w:r>
    </w:p>
    <w:p>
      <w:r>
        <w:t>FR: ATF 101 II 375</w:t>
      </w:r>
    </w:p>
    <w:p>
      <w:r>
        <w:t>IT: DTF 101 II 375</w:t>
      </w:r>
    </w:p>
    <w:p>
      <w:pPr>
        <w:pStyle w:val="Heading2"/>
      </w:pPr>
      <w:r>
        <w:t>Regeste</w:t>
      </w:r>
    </w:p>
    <w:p>
      <w:r>
        <w:t>Regeste Einrede der beurteilten Sache. 1. Wiederholte Klage auf Zahlung einer Forderung, die auf einem Auftragsverhältnis beruht; Bundesrecht und kantonales Recht. 2. Der bundesrechtliche Anspruch auf ein Sachurteil ist verletzt, wenn der Richter die Beurteilung der Forderung im zweiten Verfahren ablehnt, obschon darüber im ersten nicht entschieden worden ist.</w:t>
      </w:r>
    </w:p>
    <w:p>
      <w:pPr>
        <w:pStyle w:val="Heading2"/>
      </w:pPr>
      <w:r>
        <w:t>Erwägungen</w:t>
      </w:r>
    </w:p>
    <w:p>
      <w:r>
        <w:rPr>
          <w:b/>
        </w:rPr>
        <w:t>E. 1</w:t>
      </w:r>
    </w:p>
    <w:p>
      <w:r>
        <w:t>Der Beklagte macht geltend, die Einrede der beurteilten Sache sei prozessrechtlicher Natur, der Entscheid über sie ausschliesslich eine Frage des kantonalen Rechts und deshalb auf die Berufung nicht einzutreten. Diese Auffassung hält nicht stand. Die Forderung, die dem Kläger gemäss Art. 131 Abs. 2 SchKG zur Eintreibung überwiesen wurde, beruht auf dem Auftragsverhältnis zwischen M. und dem Beklagten, untersteht also dem Bundesrecht. Der BGE 101 II 375 S. 378 Kläger hat daher einen bundesrechtlichen Anspruch darauf, dass der Richter sie materiell beurteile. Nur das Verfahren, in dem sie geltend zu machen ist, wird vom kantonalen Recht beherrscht ( Art. 64 BV ). Das Bundesgericht ist denn auch schon wiederholt auf Berufung hin auf die Einrede der beurteilten Sache eingetreten ( BGE 95 II 640 , BGE 97 II 396 ). Diese Entscheide betrafen allerdings Fälle, in denen streitig war, ob die eingeklagte Forderung mit einer schon rechtskräftig beurteilten identisch sei. Der bundesrechtliche Anspruch auf ein materielles Urteil ist jedoch auch dann verletzt, wenn der Richter die Beurteilung einer unbestrittenermassen zweimal eingeklagten Forderung mit der unzutreffenden Begründung ablehnt, es sei über sie schon im ersten Verfahren ein materielles Urteil ergangen. Ob diese Begründung standhält, hat das Bundesgericht auf Berufung hin zu prüfen. Dass die Verletzung des Anspruchs vom Sinn des auf die erste Klage hin ergangenen Entscheides abhängt, ändert nichts. Welches dessen Sinn sei, ist eine bundesrechtliche Frage. Das kantonale Prozessrecht kann zwar bestimmen, wie der Richter den Urteilsspruch abzufassen habe, wenn er die Forderung auf Grund materieller Beurteilung verneint. Dagegen kann es nicht vorschreiben, das für materielle Beurteilung sprechende Urteilsdispositiv sei auch dann allein massgebend, wenn sich aus den Urteilserwägungen ergibt, dass der Richter die Beurteilung in Wirklichkeit abgelehnt hat. Das Bundesgericht als Berufungsinstanz pflegt denn auch die Urteilsbegründung mit herbeizuziehen, um den Sinn der kantonalen Urteilssprüche zu ermitteln ( BGE 93 II 47 ). Da auch die anderen Voraussetzungen der Berufung erfüllt sind - Anfechtung eines Endentscheides und Streitwert von wenigstens Fr. 8'000.-- - ist auf die Berufung einzutreten.</w:t>
      </w:r>
    </w:p>
    <w:p>
      <w:r>
        <w:rPr>
          <w:b/>
        </w:rPr>
        <w:t>E. 2</w:t>
      </w:r>
    </w:p>
    <w:p>
      <w:r>
        <w:t>Aus den Erwägungen des Urteils vom 19. April 1974 ergibt sich, dass die II. Strafkammer des Obergerichtes des Kantons Bern die adhäsionsweise eingeklagte Forderung nicht materiell beurteilt hat, und zwar deshalb nicht, weil sie aus einem anderen tatsächlichen Geschehen abgeleitet werde als der Gegenstand des Strafverfahrens bildende Strafanspruch. Daran vermag weder der Schlusssatz der Erwägungen, dass die Zivilklage aus diesem Grunde abgewiesen werden müsse, noch die entsprechende Formulierung des Urteilsspruches etwas zu ändern. Ob nach bernischem Prozessrecht nur materiell beurteilte BGE 101 II 375 S. 379 Zivilansprüche "abgewiesen" werden dürfen, ist unerheblich. Wenn dies zutrifft, ergibt sich daraus bloss, dass der II. Strafkammer bei der Abfassung des Urteilsspruches ein Versehen unterlaufen ist, nicht aber, dass sie über den Bestand der Forderung des Klägers, zu deren Begründetheit oder Unbegründetheit sie nicht Stellung nehmen wollte und nicht Stellung genommen hat, im Ergebnis doch geurteilt habe. Anders entscheiden, hiesse dem Kläger das Recht auf ein materielles Urteil verweigern.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